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1F5C7B">
        <w:rPr>
          <w:rFonts w:ascii="Arial" w:hAnsi="Arial" w:cs="Arial"/>
          <w:b/>
          <w:sz w:val="40"/>
          <w:szCs w:val="40"/>
        </w:rPr>
        <w:t>Směrnice o bezpečnosti a ochraně zdraví při práci</w:t>
      </w:r>
    </w:p>
    <w:p w:rsidR="001F5DDE" w:rsidRDefault="001F5DDE" w:rsidP="001F5C7B">
      <w:pPr>
        <w:ind w:left="-426" w:right="-709"/>
        <w:jc w:val="center"/>
        <w:rPr>
          <w:rFonts w:ascii="Arial" w:hAnsi="Arial" w:cs="Arial"/>
          <w:b/>
        </w:rPr>
      </w:pPr>
    </w:p>
    <w:p w:rsidR="00E42BFE" w:rsidRPr="001F5C7B" w:rsidRDefault="00E42BFE" w:rsidP="001F5C7B">
      <w:pPr>
        <w:ind w:left="-426" w:right="-709"/>
        <w:jc w:val="center"/>
        <w:rPr>
          <w:rFonts w:ascii="Arial" w:hAnsi="Arial" w:cs="Arial"/>
          <w:b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Článek 1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Základní ustanovení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</w:rPr>
      </w:pPr>
    </w:p>
    <w:p w:rsidR="001F5DDE" w:rsidRPr="001F5C7B" w:rsidRDefault="001F5DDE" w:rsidP="001F5C7B">
      <w:pPr>
        <w:numPr>
          <w:ilvl w:val="0"/>
          <w:numId w:val="1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Směrnice o bezpečnosti a ochraně zdraví při práci (dále jen BOZP) slouží k zabezpečení úkolů týkající se bezpečnosti a ochrany zdraví při práci a zlepšování pracovního prostředí. </w:t>
      </w:r>
    </w:p>
    <w:p w:rsidR="001F5DDE" w:rsidRDefault="001F5DDE" w:rsidP="001F5C7B">
      <w:pPr>
        <w:numPr>
          <w:ilvl w:val="0"/>
          <w:numId w:val="1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Směrnice vychází z obecně platných právních předpisů vztahujících se BOZP, zejména z ustanovení Zákoníku práce.</w:t>
      </w:r>
    </w:p>
    <w:p w:rsidR="00E42BFE" w:rsidRPr="001F5C7B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Článek 2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Povinnosti a úkoly poraden SONS</w:t>
      </w:r>
      <w:r w:rsidR="001F5C7B">
        <w:rPr>
          <w:rFonts w:ascii="Arial" w:hAnsi="Arial" w:cs="Arial"/>
          <w:b/>
        </w:rPr>
        <w:t xml:space="preserve"> ČR, z. s.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</w:rPr>
      </w:pP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Zajišťovat bezpečnost a ochranu zdraví pří práci, zlepšovat pracovní prostředí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>a pracovní podmínky, zřizovat, udržovat a zlepšovat potřebná ochranná zařízení k zajištění BOZP.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Soustavně seznamovat s rámcovou směrnicí, právními a dalšími interními předpisy k zajištění BOZP a s novými poznatky bezpečnostní techniky vedoucí i další pracovníky. Ověřovat jejich znalosti předpisů a soustavně vyžadovat a kontrolovat jejich dodržování.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Přijímat zaměstnance a přidělovat práci se zřetelem na jejich schopnosti, zdravotní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>a psychický stav a nepřipustit, aby pracovník vykonával práce, jejichž výkon by byl v rozporu s předpisy BOZP nebo s lékařským doporučením, včetně práce přesčas nebo v noci.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Soustavně kontrolovat úroveň péče o BOZP, stav technické prevence, dodržování zásad BOZP a odstraňovat zjištěné závady, jakož i příčiny poruch a havárií technických aj. zařízení.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Zabezpečovat všechna opatření související s prevencí pracovních úrazů. V případě, že přes všechna tato opatření k úrazu dojde, bezodkladně zjišťovat a odstraňovat jejich příčiny.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>O úrazech je třeba vést evidenci, oznamovat je příslušným orgánům a provádět opatření k nápravě (vyhl. 110/75 Sb. doplněná vyhl. 274/90 Sb.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Poskytovat zaměstnancům k bezplatnému použití osobní pracovní prostředky, pokud to vyžaduje charakter vykonávané práce a zajišťovat řádné hospodaření s nimi. Toto ustanovení se týká především pracovníků zabezpečujících osobní asistenci.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Povinnost všestranně pečovat o BOZP se vztahuje na všechny osoby, které se s vědomím organizace zdržují na jejích pracovištích. 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Zaměstnanci, který utrpěl pracovní úraz při plnění pracovních úkolů nebo v přímé souvislosti s nimi, je organizace povinna v rozsahu, ve kterém za škodu odpovídá, poskytnout podle § 193 ZP náhradu za ztrátu výdělku, bolest a ztížení společenského uplatnění, účelně vynaložené náklady spojené s léčením, věcnou škodu – stanovení § 187, odst. 3 ZP. Způsob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 xml:space="preserve">a rozsah náhrady škody je organizace povinna projednat se zaměstnancem, event.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>i s nadřízeným orgánem (výkonným výborem) v případě event. rozporů bez zbytečného odkladu.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Zajišťovat vhodné pracovní podmínky ženám, které nesmějí být zaměstnávány pracemi pro ně fyzicky nepřiměřené nebo škodí jejich organizmu ve smyslu § 150 ZP.</w:t>
      </w:r>
    </w:p>
    <w:p w:rsidR="001F5DDE" w:rsidRPr="001F5C7B" w:rsidRDefault="001F5DDE" w:rsidP="001F5C7B">
      <w:pPr>
        <w:numPr>
          <w:ilvl w:val="0"/>
          <w:numId w:val="2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Vytvářet bezpečné a zdravotně nezávadné prostředí a podmínky pro mladistvé zaměstnance – osoby mladší 18 let. Mladiství nesmějí být zaměstnáni pracemi, které jsou pro ně v tomto věku nepřiměřené, nebezpečné nebo škodlivé zdraví. Týká se zejména osob působících v poradnách jako dobrovolníci nebo stážisti.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right="-709"/>
        <w:jc w:val="both"/>
        <w:rPr>
          <w:rFonts w:ascii="Arial" w:hAnsi="Arial" w:cs="Arial"/>
        </w:rPr>
      </w:pPr>
    </w:p>
    <w:p w:rsidR="00E42BFE" w:rsidRDefault="00E42BFE" w:rsidP="00E42BFE">
      <w:pPr>
        <w:ind w:right="-709"/>
        <w:rPr>
          <w:rFonts w:ascii="Arial" w:hAnsi="Arial" w:cs="Arial"/>
          <w:b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lastRenderedPageBreak/>
        <w:t>Článek 3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Odpovědnost a úkoly vedoucích pracovníků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numPr>
          <w:ilvl w:val="0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 plnění povinností a úkolů organizace uvedených v čl. 2 odpovídají vedoucí pracovníci na všech stupních řízení ve smyslu § 133 ZP.</w:t>
      </w:r>
    </w:p>
    <w:p w:rsidR="001F5DDE" w:rsidRPr="001F5C7B" w:rsidRDefault="001F5DDE" w:rsidP="001F5C7B">
      <w:pPr>
        <w:numPr>
          <w:ilvl w:val="0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Vedoucí pracovníci jsou povinni vytvářet příznivé pracovní podmínky a zajišťovat bezpečnost a ochranu zdraví při práci, zejména: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vytvářet v souladu s předpisy BOZP organizační, technické a další podmínky k tomu, aby jimi řízení pracovníci mohli plnit úkoly stanovené touto směrnicí,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seznámit každého nově přijatého zaměstnance, vč. externích pracovníků, před zahájením práce s pracovištěm, prac. povinnostmi souvisejícími s BOZP a provést vstupní zaškolení související s hygienou, požární ochranou a dalšími bezpečnostními předpisy vztahujícími se k pracovišti,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vést záznamy o instruktážích, o eventuálních porušeních BOZP předpisů,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zabezpečovat předepsaná školení a přezkušování zaměstnanců, vést o tom záznamy a evidovat příslušné doklady,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zajišťovat bezpečnost provozních prostor a zařízení, předcházet případným pracovním úrazům,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kontrolovat dodržování hygienických zásad, opatření a pravidel na pracovištích,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udržovat a doplňovat prostředky první pomoci pro případ zranění pracovníků nebo klientů, - -vést sešit drobných úrazů, která nejsou pracov</w:t>
      </w:r>
      <w:r w:rsidR="001F5C7B">
        <w:rPr>
          <w:rFonts w:ascii="Arial" w:hAnsi="Arial" w:cs="Arial"/>
        </w:rPr>
        <w:t>ním úrazem ve smyslu § 3 vyhl. č</w:t>
      </w:r>
      <w:r w:rsidRPr="001F5C7B">
        <w:rPr>
          <w:rFonts w:ascii="Arial" w:hAnsi="Arial" w:cs="Arial"/>
        </w:rPr>
        <w:t>. 110/75 Sb. a nařízení vlády č. 494/01 Sb.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 případě úrazu postupovat dle vyhl. o evidenci a registraci prac. úrazů, zabezpečit včasné a důsledné vyšetření, sepsání Záznamu o úrazu, stanovit opatření k dalšímu zamezení úrazu, předat záznam pracovníkovi a do 5. dne následujícího měsíce od úrazu předat záznam příslušnému inspektorátu bezpečnosti práce a pojišťovně,</w:t>
      </w:r>
    </w:p>
    <w:p w:rsidR="001F5DDE" w:rsidRPr="001F5C7B" w:rsidRDefault="001F5DDE" w:rsidP="001F5C7B">
      <w:pPr>
        <w:numPr>
          <w:ilvl w:val="1"/>
          <w:numId w:val="3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kontrolovat, zda jsou na jednotlivých pracovištích na místech s nebezpečím úrazu či požáru umístěny příslušné bezpečnostní pokyny,</w:t>
      </w:r>
    </w:p>
    <w:p w:rsidR="001F5DDE" w:rsidRPr="001F5C7B" w:rsidRDefault="001F5DDE" w:rsidP="001F5C7B">
      <w:pPr>
        <w:numPr>
          <w:ilvl w:val="1"/>
          <w:numId w:val="3"/>
        </w:numPr>
        <w:tabs>
          <w:tab w:val="num" w:pos="0"/>
        </w:tabs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kontrolovat, zda jsou ve stanovených lhůtách prováděny předepsané revize, kontroly </w:t>
      </w:r>
      <w:r w:rsidR="001F5C7B">
        <w:rPr>
          <w:rFonts w:ascii="Arial" w:hAnsi="Arial" w:cs="Arial"/>
        </w:rPr>
        <w:br/>
      </w:r>
      <w:r w:rsidR="00110CE3">
        <w:rPr>
          <w:rFonts w:ascii="Arial" w:hAnsi="Arial" w:cs="Arial"/>
        </w:rPr>
        <w:t>a prohlídky zařízen</w:t>
      </w:r>
      <w:r w:rsidRPr="001F5C7B">
        <w:rPr>
          <w:rFonts w:ascii="Arial" w:hAnsi="Arial" w:cs="Arial"/>
        </w:rPr>
        <w:t xml:space="preserve">í a uchovávat záznamy, </w:t>
      </w:r>
    </w:p>
    <w:p w:rsidR="001F5DDE" w:rsidRPr="001F5C7B" w:rsidRDefault="001F5DDE" w:rsidP="001F5C7B">
      <w:pPr>
        <w:numPr>
          <w:ilvl w:val="1"/>
          <w:numId w:val="3"/>
        </w:numPr>
        <w:tabs>
          <w:tab w:val="num" w:pos="0"/>
        </w:tabs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při hodnocení pracovníků přihlížet také k dodržování příslušných předpisů BOZP.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Článek 4.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Povinnosti zaměstnanců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Zaměstnanci jsou povinni: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zúčastnit se vstupní instruktáže k dodržování předpisů BOZP a podle potřeby se podrobit kvalifikačním zkouškám a lékařským prohlídkám,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dodržovat předpisy a pokyny k zajištění BOZP,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využívat při práci bezpečnostní, technická, hygienická aj. zařízení, ochranné pracovní prostředky, které je povinen ošetřovat a chránit před poškozením, ztrátou, zničením či odcizením,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oznamovat svému nadřízenému všechny úrazy, nedostatky, závady ad. skutečnosti, které by mohly ohrozit bezpečnost klientů a provoz pracoviště, 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udržovat pracoviště v pořádku, řádně hospodařit se svěřenými prostředky a vzniklé závady či ztráty ihned hlásit nadřízenému,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počínat si při práci tak, aby nedocházelo ke škodám na zdraví či majetku,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účastnit se řešení všech úkolů souvisejících se zabezpečením BOZP v organizaci 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>a na pracovišti,</w:t>
      </w:r>
    </w:p>
    <w:p w:rsidR="001F5DDE" w:rsidRPr="001F5C7B" w:rsidRDefault="001F5DDE" w:rsidP="001F5C7B">
      <w:pPr>
        <w:numPr>
          <w:ilvl w:val="0"/>
          <w:numId w:val="4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dodržovat zákaz kouření ve všech prostorách pracovišť.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lastRenderedPageBreak/>
        <w:t>Článek 5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Práva zaměstnanců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Zaměstnanci  mají právo: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numPr>
          <w:ilvl w:val="0"/>
          <w:numId w:val="5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pracovat v takových podmínkách, které odpovídají požadavkům BOZP,</w:t>
      </w:r>
    </w:p>
    <w:p w:rsidR="001F5DDE" w:rsidRPr="001F5C7B" w:rsidRDefault="001F5DDE" w:rsidP="001F5C7B">
      <w:pPr>
        <w:numPr>
          <w:ilvl w:val="0"/>
          <w:numId w:val="5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při vzniku pracovního úrazu uplatňovat ve smyslu příslušných předpisů nárok na odškodnění,</w:t>
      </w:r>
    </w:p>
    <w:p w:rsidR="001F5DDE" w:rsidRPr="001F5C7B" w:rsidRDefault="001F5DDE" w:rsidP="001F5C7B">
      <w:pPr>
        <w:numPr>
          <w:ilvl w:val="0"/>
          <w:numId w:val="5"/>
        </w:numPr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podílet se na úkolech a vzdělávacích akcích, které přispívají ke zlepšení pracovních podmínek a BOZP.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Článek 6</w:t>
      </w:r>
    </w:p>
    <w:p w:rsidR="001F5DDE" w:rsidRPr="001F5C7B" w:rsidRDefault="001F5DDE" w:rsidP="001F5C7B">
      <w:pPr>
        <w:ind w:left="-426" w:right="-709"/>
        <w:jc w:val="center"/>
        <w:rPr>
          <w:rFonts w:ascii="Arial" w:hAnsi="Arial" w:cs="Arial"/>
          <w:b/>
        </w:rPr>
      </w:pPr>
      <w:r w:rsidRPr="001F5C7B">
        <w:rPr>
          <w:rFonts w:ascii="Arial" w:hAnsi="Arial" w:cs="Arial"/>
          <w:b/>
        </w:rPr>
        <w:t>Všeobecná ustanovení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Směrnice o BOZP nabývá na účinnosti dnem schválen</w:t>
      </w:r>
      <w:r w:rsidR="001F5C7B">
        <w:rPr>
          <w:rFonts w:ascii="Arial" w:hAnsi="Arial" w:cs="Arial"/>
        </w:rPr>
        <w:t>í.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Se Směrnicí BOZP a všemi přílohami byli seznámeni všichni zaměstnanci a je k dispozici na všech pracovištích.</w:t>
      </w: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Součástí směrnice jsou tyto dokumenty (uložené ve zvláštní složce).</w:t>
      </w:r>
    </w:p>
    <w:p w:rsidR="001F5DDE" w:rsidRPr="001F5C7B" w:rsidRDefault="001F5DDE" w:rsidP="001F5C7B">
      <w:pPr>
        <w:numPr>
          <w:ilvl w:val="2"/>
          <w:numId w:val="6"/>
        </w:numPr>
        <w:tabs>
          <w:tab w:val="num" w:pos="360"/>
        </w:tabs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Deník nouzových a havarijních situací</w:t>
      </w:r>
    </w:p>
    <w:p w:rsidR="001F5DDE" w:rsidRPr="001F5C7B" w:rsidRDefault="001F5DDE" w:rsidP="001F5C7B">
      <w:pPr>
        <w:numPr>
          <w:ilvl w:val="2"/>
          <w:numId w:val="6"/>
        </w:numPr>
        <w:tabs>
          <w:tab w:val="num" w:pos="360"/>
        </w:tabs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Prezenční listiny pracovníků, kteří se zúčastnili školení BOZP a PO, záznamy o školení.</w:t>
      </w:r>
    </w:p>
    <w:p w:rsidR="001F5DDE" w:rsidRPr="001F5C7B" w:rsidRDefault="001F5DDE" w:rsidP="001F5C7B">
      <w:pPr>
        <w:numPr>
          <w:ilvl w:val="2"/>
          <w:numId w:val="6"/>
        </w:numPr>
        <w:tabs>
          <w:tab w:val="num" w:pos="360"/>
        </w:tabs>
        <w:ind w:left="-426" w:right="-709" w:firstLine="0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Prezenční listina a záznam o školení pracovníků v poskytování první pomoci se specifickým přístupem k osobám se zrakovým postižením.</w:t>
      </w:r>
    </w:p>
    <w:p w:rsidR="001F5DDE" w:rsidRPr="001F5C7B" w:rsidRDefault="001F5DDE" w:rsidP="001F5C7B">
      <w:pPr>
        <w:tabs>
          <w:tab w:val="num" w:pos="2340"/>
        </w:tabs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1F5C7B">
      <w:pPr>
        <w:tabs>
          <w:tab w:val="num" w:pos="2340"/>
        </w:tabs>
        <w:ind w:left="-426" w:right="-709"/>
        <w:jc w:val="both"/>
        <w:rPr>
          <w:rFonts w:ascii="Arial" w:hAnsi="Arial" w:cs="Arial"/>
        </w:rPr>
      </w:pPr>
    </w:p>
    <w:p w:rsidR="001F5DDE" w:rsidRDefault="001F5DDE" w:rsidP="001F5C7B">
      <w:pPr>
        <w:tabs>
          <w:tab w:val="num" w:pos="2340"/>
        </w:tabs>
        <w:ind w:left="-426" w:right="-709"/>
        <w:jc w:val="both"/>
        <w:rPr>
          <w:rFonts w:ascii="Arial" w:hAnsi="Arial" w:cs="Arial"/>
        </w:rPr>
      </w:pPr>
    </w:p>
    <w:p w:rsidR="00E42BFE" w:rsidRPr="001F5C7B" w:rsidRDefault="00E42BFE" w:rsidP="001F5C7B">
      <w:pPr>
        <w:tabs>
          <w:tab w:val="num" w:pos="2340"/>
        </w:tabs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  <w:r w:rsidRPr="001F5C7B">
        <w:rPr>
          <w:rFonts w:ascii="Arial" w:hAnsi="Arial" w:cs="Arial"/>
        </w:rPr>
        <w:t>Se směrnicí jsem byl(a) seznámena:</w:t>
      </w:r>
    </w:p>
    <w:p w:rsidR="001F5DDE" w:rsidRPr="001F5C7B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</w:p>
    <w:p w:rsidR="001F5DDE" w:rsidRPr="001F5C7B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</w:p>
    <w:p w:rsidR="001F5DDE" w:rsidRPr="001F5C7B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  <w:r w:rsidRPr="001F5C7B">
        <w:rPr>
          <w:rFonts w:ascii="Arial" w:hAnsi="Arial" w:cs="Arial"/>
        </w:rPr>
        <w:t>Mgr. Jana Krčová:…………………………………………</w:t>
      </w:r>
    </w:p>
    <w:p w:rsidR="001F5DDE" w:rsidRPr="001F5C7B" w:rsidRDefault="001F5DDE" w:rsidP="00E42BFE">
      <w:pPr>
        <w:tabs>
          <w:tab w:val="num" w:pos="2340"/>
        </w:tabs>
        <w:ind w:right="-709"/>
        <w:rPr>
          <w:rFonts w:ascii="Arial" w:hAnsi="Arial" w:cs="Arial"/>
        </w:rPr>
      </w:pPr>
    </w:p>
    <w:p w:rsidR="001F5DDE" w:rsidRPr="001F5C7B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  <w:r w:rsidRPr="001F5C7B">
        <w:rPr>
          <w:rFonts w:ascii="Arial" w:hAnsi="Arial" w:cs="Arial"/>
        </w:rPr>
        <w:t>Bc. Marie Kebrdlová……………………………………....</w:t>
      </w:r>
    </w:p>
    <w:p w:rsidR="001F5DDE" w:rsidRPr="001F5C7B" w:rsidRDefault="001F5DDE" w:rsidP="00E42BFE">
      <w:pPr>
        <w:tabs>
          <w:tab w:val="num" w:pos="2340"/>
        </w:tabs>
        <w:ind w:right="-709"/>
        <w:rPr>
          <w:rFonts w:ascii="Arial" w:hAnsi="Arial" w:cs="Arial"/>
        </w:rPr>
      </w:pPr>
    </w:p>
    <w:p w:rsidR="001F5DDE" w:rsidRDefault="001F5DD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  <w:r w:rsidRPr="001F5C7B">
        <w:rPr>
          <w:rFonts w:ascii="Arial" w:hAnsi="Arial" w:cs="Arial"/>
        </w:rPr>
        <w:t>Ludmila Soltysiaková……………………………………..</w:t>
      </w:r>
      <w:r w:rsidR="00E42BFE">
        <w:rPr>
          <w:rFonts w:ascii="Arial" w:hAnsi="Arial" w:cs="Arial"/>
        </w:rPr>
        <w:br/>
      </w:r>
      <w:r w:rsidR="00E42BFE">
        <w:rPr>
          <w:rFonts w:ascii="Arial" w:hAnsi="Arial" w:cs="Arial"/>
        </w:rPr>
        <w:br/>
        <w:t>Bc. Klára Nádvorníková.......................................................</w:t>
      </w:r>
    </w:p>
    <w:p w:rsidR="00E42BFE" w:rsidRDefault="00E42BF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</w:p>
    <w:p w:rsidR="00E42BFE" w:rsidRPr="001F5C7B" w:rsidRDefault="00E42BFE" w:rsidP="00E42BFE">
      <w:pPr>
        <w:tabs>
          <w:tab w:val="num" w:pos="2340"/>
        </w:tabs>
        <w:ind w:left="-426" w:right="-709"/>
        <w:rPr>
          <w:rFonts w:ascii="Arial" w:hAnsi="Arial" w:cs="Arial"/>
        </w:rPr>
      </w:pPr>
      <w:r>
        <w:rPr>
          <w:rFonts w:ascii="Arial" w:hAnsi="Arial" w:cs="Arial"/>
        </w:rPr>
        <w:t>Bc. Klára Kočí...................................................................</w:t>
      </w:r>
    </w:p>
    <w:p w:rsidR="00E42BFE" w:rsidRDefault="00E42BFE" w:rsidP="00E42BFE">
      <w:pPr>
        <w:ind w:right="-709"/>
        <w:rPr>
          <w:rFonts w:ascii="Arial" w:hAnsi="Arial" w:cs="Arial"/>
        </w:rPr>
      </w:pPr>
    </w:p>
    <w:p w:rsidR="00E42BFE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E42BFE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E42BFE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E42BFE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E42BFE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 xml:space="preserve">Uvedený text je určen pro všechny služby poskytované na pracovištích SONS </w:t>
      </w:r>
      <w:r w:rsidR="001F5C7B">
        <w:rPr>
          <w:rFonts w:ascii="Arial" w:hAnsi="Arial" w:cs="Arial"/>
        </w:rPr>
        <w:t>ČR, z. s.</w:t>
      </w:r>
      <w:r w:rsidR="001F5C7B">
        <w:rPr>
          <w:rFonts w:ascii="Arial" w:hAnsi="Arial" w:cs="Arial"/>
        </w:rPr>
        <w:br/>
      </w:r>
      <w:r w:rsidRPr="001F5C7B">
        <w:rPr>
          <w:rFonts w:ascii="Arial" w:hAnsi="Arial" w:cs="Arial"/>
        </w:rPr>
        <w:t xml:space="preserve">a závazný pro všechny pracovníky působící </w:t>
      </w:r>
      <w:r w:rsidR="001F5C7B">
        <w:rPr>
          <w:rFonts w:ascii="Arial" w:hAnsi="Arial" w:cs="Arial"/>
        </w:rPr>
        <w:t>v soc. službách poskytovaných v </w:t>
      </w:r>
      <w:r w:rsidR="001F5C7B" w:rsidRPr="001F5C7B">
        <w:rPr>
          <w:rFonts w:ascii="Arial" w:hAnsi="Arial" w:cs="Arial"/>
        </w:rPr>
        <w:t xml:space="preserve">SONS </w:t>
      </w:r>
      <w:r w:rsidR="001F5C7B">
        <w:rPr>
          <w:rFonts w:ascii="Arial" w:hAnsi="Arial" w:cs="Arial"/>
        </w:rPr>
        <w:t>ČR, z. s.</w:t>
      </w:r>
      <w:r w:rsidR="001F5C7B">
        <w:rPr>
          <w:rFonts w:ascii="Arial" w:hAnsi="Arial" w:cs="Arial"/>
        </w:rPr>
        <w:br/>
      </w:r>
    </w:p>
    <w:p w:rsidR="00E42BFE" w:rsidRDefault="001F5DDE" w:rsidP="00E42BFE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Text je třeba doplnit datem schválení směrnice a dokladem o tom, že s ní byli seznámeni příslušní pracovníci daného pracoviště SONS</w:t>
      </w:r>
      <w:r w:rsidR="00E42BFE">
        <w:rPr>
          <w:rFonts w:ascii="Arial" w:hAnsi="Arial" w:cs="Arial"/>
        </w:rPr>
        <w:t xml:space="preserve"> ČR, z.s.</w:t>
      </w:r>
      <w:r w:rsidRPr="001F5C7B">
        <w:rPr>
          <w:rFonts w:ascii="Arial" w:hAnsi="Arial" w:cs="Arial"/>
        </w:rPr>
        <w:t xml:space="preserve"> </w:t>
      </w:r>
    </w:p>
    <w:p w:rsidR="00E42BFE" w:rsidRDefault="00E42BFE" w:rsidP="00E42BFE">
      <w:pPr>
        <w:ind w:left="-426" w:right="-709"/>
        <w:jc w:val="both"/>
        <w:rPr>
          <w:rFonts w:ascii="Arial" w:hAnsi="Arial" w:cs="Arial"/>
        </w:rPr>
      </w:pPr>
    </w:p>
    <w:p w:rsidR="001F5DDE" w:rsidRPr="001F5C7B" w:rsidRDefault="001F5DDE" w:rsidP="00E42BFE">
      <w:pPr>
        <w:ind w:left="-426" w:right="-709"/>
        <w:jc w:val="both"/>
        <w:rPr>
          <w:rFonts w:ascii="Arial" w:hAnsi="Arial" w:cs="Arial"/>
        </w:rPr>
      </w:pPr>
      <w:r w:rsidRPr="001F5C7B">
        <w:rPr>
          <w:rFonts w:ascii="Arial" w:hAnsi="Arial" w:cs="Arial"/>
        </w:rPr>
        <w:t>Pozor – nezapomenout na proškolení pracovníků v poskytování první pomoci se specifickým přístupem k osobám se zrakovým postižením.</w:t>
      </w:r>
    </w:p>
    <w:p w:rsidR="00377C55" w:rsidRPr="001F5C7B" w:rsidRDefault="00377C55" w:rsidP="001F5C7B">
      <w:pPr>
        <w:ind w:left="-426" w:right="-709"/>
        <w:rPr>
          <w:rFonts w:ascii="Arial" w:hAnsi="Arial" w:cs="Arial"/>
        </w:rPr>
      </w:pPr>
    </w:p>
    <w:sectPr w:rsidR="00377C55" w:rsidRPr="001F5C7B" w:rsidSect="00E42BF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22D6"/>
    <w:multiLevelType w:val="hybridMultilevel"/>
    <w:tmpl w:val="909E914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FFFFFFF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 w:tplc="FFFFFFFF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584D2E"/>
    <w:multiLevelType w:val="hybridMultilevel"/>
    <w:tmpl w:val="532C4FC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103FA"/>
    <w:multiLevelType w:val="hybridMultilevel"/>
    <w:tmpl w:val="7AB859E8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6331C"/>
    <w:multiLevelType w:val="hybridMultilevel"/>
    <w:tmpl w:val="058C2300"/>
    <w:lvl w:ilvl="0" w:tplc="FFFFFFFF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FE44B5"/>
    <w:multiLevelType w:val="hybridMultilevel"/>
    <w:tmpl w:val="17B83FFE"/>
    <w:lvl w:ilvl="0" w:tplc="FFFFFFFF"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0236F7"/>
    <w:multiLevelType w:val="hybridMultilevel"/>
    <w:tmpl w:val="7B4C716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DE"/>
    <w:rsid w:val="00110CE3"/>
    <w:rsid w:val="001F5C7B"/>
    <w:rsid w:val="001F5DDE"/>
    <w:rsid w:val="00377C55"/>
    <w:rsid w:val="00852EC6"/>
    <w:rsid w:val="00E4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5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1083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standard</cp:lastModifiedBy>
  <cp:revision>2</cp:revision>
  <dcterms:created xsi:type="dcterms:W3CDTF">2019-04-24T15:17:00Z</dcterms:created>
  <dcterms:modified xsi:type="dcterms:W3CDTF">2019-04-24T15:17:00Z</dcterms:modified>
</cp:coreProperties>
</file>